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5261C" w14:textId="77777777" w:rsidR="00FB2FBE" w:rsidRPr="00FB2FBE" w:rsidRDefault="00FB2FBE" w:rsidP="002E0B1D">
      <w:pPr>
        <w:pStyle w:val="ListParagraph"/>
        <w:numPr>
          <w:ilvl w:val="0"/>
          <w:numId w:val="2"/>
        </w:numPr>
        <w:tabs>
          <w:tab w:val="left" w:pos="426"/>
        </w:tabs>
        <w:spacing w:before="240"/>
        <w:ind w:left="425" w:right="6" w:hanging="425"/>
        <w:jc w:val="both"/>
      </w:pPr>
      <w:r w:rsidRPr="00FB2FBE">
        <w:t>In 1938, Dr John Bradfield, a Queensland civil engineer, proposed a scheme that would divert flows from the Wet Tropics and Burdekin River catchments to irrigate and drought proof much of Western Queensland and as far south as South Australia.</w:t>
      </w:r>
    </w:p>
    <w:p w14:paraId="110443E6" w14:textId="421CEB9A" w:rsidR="00FB2FBE" w:rsidRPr="00FB2FBE" w:rsidRDefault="00842E4F" w:rsidP="002E0B1D">
      <w:pPr>
        <w:pStyle w:val="ListParagraph"/>
        <w:numPr>
          <w:ilvl w:val="0"/>
          <w:numId w:val="2"/>
        </w:numPr>
        <w:tabs>
          <w:tab w:val="left" w:pos="426"/>
        </w:tabs>
        <w:spacing w:before="240"/>
        <w:ind w:left="425" w:right="6" w:hanging="425"/>
        <w:jc w:val="both"/>
      </w:pPr>
      <w:r>
        <w:t xml:space="preserve">The Bradfield scheme aimed </w:t>
      </w:r>
      <w:r w:rsidR="00FB2FBE" w:rsidRPr="00FB2FBE">
        <w:t>to capture water from North Queensland and transport it to the d</w:t>
      </w:r>
      <w:r w:rsidR="00611FB0">
        <w:t>r</w:t>
      </w:r>
      <w:r w:rsidR="00FB2FBE" w:rsidRPr="00FB2FBE">
        <w:t>ier regions,</w:t>
      </w:r>
      <w:r w:rsidR="00FB2FBE" w:rsidRPr="002E0B1D">
        <w:t xml:space="preserve"> </w:t>
      </w:r>
      <w:r w:rsidR="00FB2FBE" w:rsidRPr="00FB2FBE">
        <w:t>either</w:t>
      </w:r>
      <w:r w:rsidR="00FB2FBE" w:rsidRPr="002E0B1D">
        <w:t xml:space="preserve"> </w:t>
      </w:r>
      <w:r w:rsidR="00FB2FBE" w:rsidRPr="00FB2FBE">
        <w:t>to</w:t>
      </w:r>
      <w:r w:rsidR="00FB2FBE" w:rsidRPr="002E0B1D">
        <w:t xml:space="preserve"> </w:t>
      </w:r>
      <w:r w:rsidR="00FB2FBE" w:rsidRPr="00FB2FBE">
        <w:t>the</w:t>
      </w:r>
      <w:r w:rsidR="00FB2FBE" w:rsidRPr="002E0B1D">
        <w:t xml:space="preserve"> </w:t>
      </w:r>
      <w:r w:rsidR="00FB2FBE" w:rsidRPr="00FB2FBE">
        <w:t>south,</w:t>
      </w:r>
      <w:r w:rsidR="00FB2FBE" w:rsidRPr="002E0B1D">
        <w:t xml:space="preserve"> </w:t>
      </w:r>
      <w:r w:rsidR="00FB2FBE" w:rsidRPr="00FB2FBE">
        <w:t>west</w:t>
      </w:r>
      <w:r w:rsidR="00FB2FBE" w:rsidRPr="002E0B1D">
        <w:t xml:space="preserve"> </w:t>
      </w:r>
      <w:r w:rsidR="00FB2FBE" w:rsidRPr="00FB2FBE">
        <w:t>or</w:t>
      </w:r>
      <w:r w:rsidR="00FB2FBE" w:rsidRPr="002E0B1D">
        <w:t xml:space="preserve"> </w:t>
      </w:r>
      <w:r w:rsidR="00FB2FBE" w:rsidRPr="00FB2FBE">
        <w:t>both.</w:t>
      </w:r>
      <w:r w:rsidR="00FB2FBE" w:rsidRPr="002E0B1D">
        <w:t xml:space="preserve"> </w:t>
      </w:r>
      <w:r w:rsidR="00FB2FBE" w:rsidRPr="00FB2FBE">
        <w:t>Several</w:t>
      </w:r>
      <w:r w:rsidR="00FB2FBE" w:rsidRPr="002E0B1D">
        <w:t xml:space="preserve"> </w:t>
      </w:r>
      <w:r w:rsidR="00FB2FBE" w:rsidRPr="00FB2FBE">
        <w:t>reviews</w:t>
      </w:r>
      <w:r w:rsidR="00FB2FBE" w:rsidRPr="002E0B1D">
        <w:t xml:space="preserve"> </w:t>
      </w:r>
      <w:r w:rsidR="00FB2FBE" w:rsidRPr="00FB2FBE">
        <w:t>of</w:t>
      </w:r>
      <w:r w:rsidR="00FB2FBE" w:rsidRPr="002E0B1D">
        <w:t xml:space="preserve"> </w:t>
      </w:r>
      <w:r w:rsidR="00FB2FBE" w:rsidRPr="00FB2FBE">
        <w:t>the</w:t>
      </w:r>
      <w:r w:rsidR="00FB2FBE" w:rsidRPr="002E0B1D">
        <w:t xml:space="preserve"> </w:t>
      </w:r>
      <w:r w:rsidR="00FB2FBE" w:rsidRPr="00FB2FBE">
        <w:t>Bradfield</w:t>
      </w:r>
      <w:r w:rsidR="00FB2FBE" w:rsidRPr="002E0B1D">
        <w:t xml:space="preserve"> </w:t>
      </w:r>
      <w:r w:rsidR="00FB2FBE" w:rsidRPr="00FB2FBE">
        <w:t>Scheme</w:t>
      </w:r>
      <w:r w:rsidR="00FB2FBE" w:rsidRPr="002E0B1D">
        <w:t xml:space="preserve"> </w:t>
      </w:r>
      <w:r w:rsidR="00FB2FBE" w:rsidRPr="00FB2FBE">
        <w:t>and</w:t>
      </w:r>
      <w:r w:rsidR="00FB2FBE" w:rsidRPr="002E0B1D">
        <w:t xml:space="preserve"> </w:t>
      </w:r>
      <w:r w:rsidR="00FB2FBE" w:rsidRPr="00FB2FBE">
        <w:t>its iterations</w:t>
      </w:r>
      <w:r w:rsidR="00FB2FBE" w:rsidRPr="002E0B1D">
        <w:t xml:space="preserve"> </w:t>
      </w:r>
      <w:r w:rsidR="00FB2FBE" w:rsidRPr="00FB2FBE">
        <w:t>have</w:t>
      </w:r>
      <w:r w:rsidR="00FB2FBE" w:rsidRPr="002E0B1D">
        <w:t xml:space="preserve"> </w:t>
      </w:r>
      <w:r w:rsidR="00FB2FBE" w:rsidRPr="00FB2FBE">
        <w:t>been</w:t>
      </w:r>
      <w:r w:rsidR="00FB2FBE" w:rsidRPr="002E0B1D">
        <w:t xml:space="preserve"> </w:t>
      </w:r>
      <w:r w:rsidR="00FB2FBE" w:rsidRPr="00FB2FBE">
        <w:t>conducted.</w:t>
      </w:r>
      <w:r w:rsidR="00FB2FBE" w:rsidRPr="002E0B1D">
        <w:t xml:space="preserve"> </w:t>
      </w:r>
    </w:p>
    <w:p w14:paraId="7D227EE4" w14:textId="01BD5BA8" w:rsidR="00FB2FBE" w:rsidRPr="00FB2FBE" w:rsidRDefault="00FB2FBE" w:rsidP="002E0B1D">
      <w:pPr>
        <w:pStyle w:val="ListParagraph"/>
        <w:numPr>
          <w:ilvl w:val="0"/>
          <w:numId w:val="2"/>
        </w:numPr>
        <w:tabs>
          <w:tab w:val="left" w:pos="426"/>
        </w:tabs>
        <w:spacing w:before="240"/>
        <w:ind w:left="425" w:right="6" w:hanging="425"/>
        <w:jc w:val="both"/>
      </w:pPr>
      <w:r w:rsidRPr="00FB2FBE">
        <w:t>The Queensland Government established the Bradfield Regional Assessment and Development</w:t>
      </w:r>
      <w:r w:rsidRPr="002E0B1D">
        <w:t xml:space="preserve"> </w:t>
      </w:r>
      <w:r w:rsidRPr="00FB2FBE">
        <w:t>Panel</w:t>
      </w:r>
      <w:r w:rsidRPr="002E0B1D">
        <w:t xml:space="preserve"> </w:t>
      </w:r>
      <w:r w:rsidRPr="00FB2FBE">
        <w:t>(the</w:t>
      </w:r>
      <w:r w:rsidRPr="002E0B1D">
        <w:t xml:space="preserve"> </w:t>
      </w:r>
      <w:r w:rsidRPr="00FB2FBE">
        <w:t>panel)</w:t>
      </w:r>
      <w:r w:rsidRPr="002E0B1D">
        <w:t xml:space="preserve"> </w:t>
      </w:r>
      <w:r w:rsidRPr="00FB2FBE">
        <w:t>on</w:t>
      </w:r>
      <w:r w:rsidRPr="002E0B1D">
        <w:t xml:space="preserve"> </w:t>
      </w:r>
      <w:r w:rsidRPr="00FB2FBE">
        <w:t>2</w:t>
      </w:r>
      <w:r w:rsidRPr="002E0B1D">
        <w:t xml:space="preserve"> </w:t>
      </w:r>
      <w:r w:rsidRPr="00FB2FBE">
        <w:t>September</w:t>
      </w:r>
      <w:r w:rsidRPr="002E0B1D">
        <w:t xml:space="preserve"> </w:t>
      </w:r>
      <w:r w:rsidRPr="00FB2FBE">
        <w:t>2020.</w:t>
      </w:r>
      <w:r w:rsidRPr="002E0B1D">
        <w:t xml:space="preserve"> </w:t>
      </w:r>
      <w:r w:rsidRPr="00FB2FBE">
        <w:t>The</w:t>
      </w:r>
      <w:r w:rsidRPr="002E0B1D">
        <w:t xml:space="preserve"> </w:t>
      </w:r>
      <w:r w:rsidRPr="00FB2FBE">
        <w:t>independent</w:t>
      </w:r>
      <w:r w:rsidRPr="002E0B1D">
        <w:t xml:space="preserve"> </w:t>
      </w:r>
      <w:r w:rsidRPr="00FB2FBE">
        <w:t>panel</w:t>
      </w:r>
      <w:r w:rsidRPr="002E0B1D">
        <w:t xml:space="preserve"> </w:t>
      </w:r>
      <w:r w:rsidRPr="00FB2FBE">
        <w:t>was</w:t>
      </w:r>
      <w:r w:rsidRPr="002E0B1D">
        <w:t xml:space="preserve"> </w:t>
      </w:r>
      <w:r w:rsidRPr="00FB2FBE">
        <w:t>engaged</w:t>
      </w:r>
      <w:r w:rsidRPr="002E0B1D">
        <w:t xml:space="preserve"> </w:t>
      </w:r>
      <w:r w:rsidRPr="00FB2FBE">
        <w:t>to</w:t>
      </w:r>
      <w:r w:rsidRPr="002E0B1D">
        <w:t xml:space="preserve"> </w:t>
      </w:r>
      <w:r w:rsidRPr="00FB2FBE">
        <w:t>assess</w:t>
      </w:r>
      <w:r w:rsidRPr="002E0B1D">
        <w:t xml:space="preserve"> </w:t>
      </w:r>
      <w:r w:rsidRPr="00FB2FBE">
        <w:t>the</w:t>
      </w:r>
      <w:r w:rsidRPr="002E0B1D">
        <w:t xml:space="preserve"> </w:t>
      </w:r>
      <w:r w:rsidRPr="00FB2FBE">
        <w:t>financial,</w:t>
      </w:r>
      <w:r w:rsidRPr="002E0B1D">
        <w:t xml:space="preserve"> </w:t>
      </w:r>
      <w:r w:rsidRPr="00FB2FBE">
        <w:t>economic,</w:t>
      </w:r>
      <w:r w:rsidRPr="002E0B1D">
        <w:t xml:space="preserve"> </w:t>
      </w:r>
      <w:r w:rsidRPr="00FB2FBE">
        <w:t>environmental,</w:t>
      </w:r>
      <w:r w:rsidRPr="002E0B1D">
        <w:t xml:space="preserve"> </w:t>
      </w:r>
      <w:r w:rsidRPr="00FB2FBE">
        <w:t>social</w:t>
      </w:r>
      <w:r w:rsidRPr="002E0B1D">
        <w:t xml:space="preserve"> </w:t>
      </w:r>
      <w:r w:rsidRPr="00FB2FBE">
        <w:t>and</w:t>
      </w:r>
      <w:r w:rsidRPr="002E0B1D">
        <w:t xml:space="preserve"> </w:t>
      </w:r>
      <w:r w:rsidRPr="00FB2FBE">
        <w:t>technical viability</w:t>
      </w:r>
      <w:r w:rsidRPr="002E0B1D">
        <w:t xml:space="preserve"> </w:t>
      </w:r>
      <w:r w:rsidRPr="00FB2FBE">
        <w:t>of</w:t>
      </w:r>
      <w:r w:rsidRPr="002E0B1D">
        <w:t xml:space="preserve"> </w:t>
      </w:r>
      <w:r w:rsidRPr="00FB2FBE">
        <w:t>the</w:t>
      </w:r>
      <w:r w:rsidRPr="002E0B1D">
        <w:t xml:space="preserve"> </w:t>
      </w:r>
      <w:r w:rsidRPr="00FB2FBE">
        <w:t>Bradfield</w:t>
      </w:r>
      <w:r w:rsidRPr="002E0B1D">
        <w:t xml:space="preserve"> </w:t>
      </w:r>
      <w:r w:rsidRPr="00FB2FBE">
        <w:t>Scheme</w:t>
      </w:r>
      <w:r w:rsidRPr="002E0B1D">
        <w:t xml:space="preserve"> </w:t>
      </w:r>
      <w:r w:rsidRPr="00FB2FBE">
        <w:t>or</w:t>
      </w:r>
      <w:r w:rsidRPr="002E0B1D">
        <w:t xml:space="preserve"> </w:t>
      </w:r>
      <w:r w:rsidRPr="00FB2FBE">
        <w:t>Bradfield-like</w:t>
      </w:r>
      <w:r w:rsidRPr="002E0B1D">
        <w:t xml:space="preserve"> </w:t>
      </w:r>
      <w:r w:rsidRPr="00FB2FBE">
        <w:t>concepts.</w:t>
      </w:r>
    </w:p>
    <w:p w14:paraId="5EB41AFE" w14:textId="77777777" w:rsidR="00FB2FBE" w:rsidRPr="00197BFD" w:rsidRDefault="00FB2FBE" w:rsidP="002E0B1D">
      <w:pPr>
        <w:pStyle w:val="ListParagraph"/>
        <w:numPr>
          <w:ilvl w:val="0"/>
          <w:numId w:val="2"/>
        </w:numPr>
        <w:tabs>
          <w:tab w:val="left" w:pos="426"/>
        </w:tabs>
        <w:spacing w:before="240"/>
        <w:ind w:left="425" w:right="6" w:hanging="425"/>
        <w:jc w:val="both"/>
      </w:pPr>
      <w:r w:rsidRPr="00FB2FBE">
        <w:t>The panel found that there are opportunities to focus on transformative development, such as regional water grids (or ‘mini-Bradfields’) and the effective local use of water resources in northern and central Queensland.</w:t>
      </w:r>
    </w:p>
    <w:p w14:paraId="09A9865F" w14:textId="7BB562CF" w:rsidR="00197BFD" w:rsidRPr="00197BFD" w:rsidRDefault="00197BFD" w:rsidP="00197BFD">
      <w:pPr>
        <w:pStyle w:val="ListParagraph"/>
        <w:numPr>
          <w:ilvl w:val="0"/>
          <w:numId w:val="2"/>
        </w:numPr>
        <w:tabs>
          <w:tab w:val="left" w:pos="426"/>
        </w:tabs>
        <w:spacing w:before="240"/>
        <w:ind w:left="425" w:right="6" w:hanging="425"/>
        <w:jc w:val="both"/>
      </w:pPr>
      <w:r w:rsidRPr="00197BFD">
        <w:t xml:space="preserve">The </w:t>
      </w:r>
      <w:r w:rsidRPr="002E0B1D">
        <w:t>Bradfield Regional Assessment and Development Panel Report</w:t>
      </w:r>
      <w:r w:rsidRPr="00197BFD">
        <w:t xml:space="preserve"> </w:t>
      </w:r>
      <w:r>
        <w:t xml:space="preserve">(Report’s) </w:t>
      </w:r>
      <w:r w:rsidRPr="00197BFD">
        <w:t>conclusions and recommendations centre on the finding that the Bradfield scheme, or similar concepts, are not feasible and do not represent the best outcomes for communities using the State’s water resources.</w:t>
      </w:r>
    </w:p>
    <w:p w14:paraId="434B5D31" w14:textId="5E915CFF" w:rsidR="00FB2FBE" w:rsidRPr="00FB2FBE" w:rsidRDefault="00FB2FBE" w:rsidP="002E0B1D">
      <w:pPr>
        <w:pStyle w:val="ListParagraph"/>
        <w:numPr>
          <w:ilvl w:val="0"/>
          <w:numId w:val="2"/>
        </w:numPr>
        <w:tabs>
          <w:tab w:val="left" w:pos="426"/>
        </w:tabs>
        <w:spacing w:before="240"/>
        <w:ind w:left="425" w:right="6" w:hanging="425"/>
        <w:jc w:val="both"/>
      </w:pPr>
      <w:r w:rsidRPr="00197BFD">
        <w:t>The Government Response accepts or acce</w:t>
      </w:r>
      <w:r w:rsidRPr="00FB2FBE">
        <w:t>pts-in-principle, the Report’s eight recommendations.</w:t>
      </w:r>
    </w:p>
    <w:p w14:paraId="51EBDFC7" w14:textId="65D63A8A" w:rsidR="00207F89" w:rsidRPr="00FB2FBE" w:rsidRDefault="00FB2FBE" w:rsidP="002E0B1D">
      <w:pPr>
        <w:pStyle w:val="BodyText"/>
        <w:numPr>
          <w:ilvl w:val="0"/>
          <w:numId w:val="2"/>
        </w:numPr>
        <w:tabs>
          <w:tab w:val="left" w:pos="426"/>
          <w:tab w:val="left" w:pos="9639"/>
        </w:tabs>
        <w:spacing w:before="240"/>
        <w:ind w:left="425" w:right="6" w:hanging="425"/>
        <w:jc w:val="both"/>
      </w:pPr>
      <w:r w:rsidRPr="00FB2FBE">
        <w:t>A</w:t>
      </w:r>
      <w:r w:rsidR="00CD1144" w:rsidRPr="00FB2FBE">
        <w:t xml:space="preserve"> number</w:t>
      </w:r>
      <w:r w:rsidR="00CD1144" w:rsidRPr="002E0B1D">
        <w:t xml:space="preserve"> </w:t>
      </w:r>
      <w:r w:rsidR="00CD1144" w:rsidRPr="00FB2FBE">
        <w:t>of</w:t>
      </w:r>
      <w:r w:rsidR="00CD1144" w:rsidRPr="002E0B1D">
        <w:t xml:space="preserve"> </w:t>
      </w:r>
      <w:r w:rsidR="00CD1144" w:rsidRPr="00FB2FBE">
        <w:t>matters</w:t>
      </w:r>
      <w:r w:rsidR="00CD1144" w:rsidRPr="002E0B1D">
        <w:t xml:space="preserve"> </w:t>
      </w:r>
      <w:r w:rsidR="00CD1144" w:rsidRPr="00FB2FBE">
        <w:t>have</w:t>
      </w:r>
      <w:r w:rsidR="00CD1144" w:rsidRPr="002E0B1D">
        <w:t xml:space="preserve"> </w:t>
      </w:r>
      <w:r w:rsidR="00CD1144" w:rsidRPr="00FB2FBE">
        <w:t>informed</w:t>
      </w:r>
      <w:r w:rsidR="00CD1144" w:rsidRPr="002E0B1D">
        <w:t xml:space="preserve"> </w:t>
      </w:r>
      <w:r w:rsidR="00CD1144" w:rsidRPr="00FB2FBE">
        <w:t>the</w:t>
      </w:r>
      <w:r w:rsidR="00CD1144" w:rsidRPr="002E0B1D">
        <w:t xml:space="preserve"> </w:t>
      </w:r>
      <w:r w:rsidR="00CD1144" w:rsidRPr="00FB2FBE">
        <w:t>Response,</w:t>
      </w:r>
      <w:r w:rsidR="00CD1144" w:rsidRPr="002E0B1D">
        <w:t xml:space="preserve"> </w:t>
      </w:r>
      <w:r w:rsidR="00CD1144" w:rsidRPr="00FB2FBE">
        <w:t>including:</w:t>
      </w:r>
    </w:p>
    <w:p w14:paraId="51EBDFC8" w14:textId="77777777" w:rsidR="00207F89" w:rsidRPr="00FB2FBE" w:rsidRDefault="00CD1144" w:rsidP="002E0B1D">
      <w:pPr>
        <w:pStyle w:val="ListParagraph"/>
        <w:numPr>
          <w:ilvl w:val="1"/>
          <w:numId w:val="1"/>
        </w:numPr>
        <w:tabs>
          <w:tab w:val="left" w:pos="851"/>
          <w:tab w:val="left" w:pos="9639"/>
        </w:tabs>
        <w:spacing w:before="120"/>
        <w:ind w:left="850" w:right="6" w:hanging="425"/>
        <w:jc w:val="both"/>
      </w:pPr>
      <w:r w:rsidRPr="00FB2FBE">
        <w:t>the</w:t>
      </w:r>
      <w:r w:rsidRPr="002E0B1D">
        <w:t xml:space="preserve"> </w:t>
      </w:r>
      <w:r w:rsidRPr="00FB2FBE">
        <w:t>Australian</w:t>
      </w:r>
      <w:r w:rsidRPr="002E0B1D">
        <w:t xml:space="preserve"> </w:t>
      </w:r>
      <w:r w:rsidRPr="00FB2FBE">
        <w:t>Government’s,</w:t>
      </w:r>
      <w:r w:rsidRPr="002E0B1D">
        <w:t xml:space="preserve"> </w:t>
      </w:r>
      <w:r w:rsidRPr="00FB2FBE">
        <w:t>“An</w:t>
      </w:r>
      <w:r w:rsidRPr="002E0B1D">
        <w:t xml:space="preserve"> </w:t>
      </w:r>
      <w:r w:rsidRPr="00FB2FBE">
        <w:t>assessment</w:t>
      </w:r>
      <w:r w:rsidRPr="002E0B1D">
        <w:t xml:space="preserve"> </w:t>
      </w:r>
      <w:r w:rsidRPr="00FB2FBE">
        <w:t>of</w:t>
      </w:r>
      <w:r w:rsidRPr="002E0B1D">
        <w:t xml:space="preserve"> </w:t>
      </w:r>
      <w:r w:rsidRPr="00FB2FBE">
        <w:t>contemporary</w:t>
      </w:r>
      <w:r w:rsidRPr="002E0B1D">
        <w:t xml:space="preserve"> </w:t>
      </w:r>
      <w:r w:rsidRPr="00FB2FBE">
        <w:t>variations</w:t>
      </w:r>
      <w:r w:rsidRPr="002E0B1D">
        <w:t xml:space="preserve"> </w:t>
      </w:r>
      <w:r w:rsidRPr="00FB2FBE">
        <w:t>of</w:t>
      </w:r>
      <w:r w:rsidRPr="002E0B1D">
        <w:t xml:space="preserve"> </w:t>
      </w:r>
      <w:r w:rsidRPr="00FB2FBE">
        <w:t>the</w:t>
      </w:r>
      <w:r w:rsidRPr="002E0B1D">
        <w:t xml:space="preserve"> </w:t>
      </w:r>
      <w:r w:rsidRPr="00FB2FBE">
        <w:t>Bradfield Scheme”,</w:t>
      </w:r>
      <w:r w:rsidRPr="002E0B1D">
        <w:t xml:space="preserve"> </w:t>
      </w:r>
      <w:r w:rsidRPr="00FB2FBE">
        <w:t>prepared</w:t>
      </w:r>
      <w:r w:rsidRPr="002E0B1D">
        <w:t xml:space="preserve"> </w:t>
      </w:r>
      <w:r w:rsidRPr="00FB2FBE">
        <w:t>by</w:t>
      </w:r>
      <w:r w:rsidRPr="002E0B1D">
        <w:t xml:space="preserve"> </w:t>
      </w:r>
      <w:r w:rsidRPr="00FB2FBE">
        <w:t>the</w:t>
      </w:r>
      <w:r w:rsidRPr="002E0B1D">
        <w:t xml:space="preserve"> </w:t>
      </w:r>
      <w:r w:rsidRPr="00FB2FBE">
        <w:t>Commonwealth</w:t>
      </w:r>
      <w:r w:rsidRPr="002E0B1D">
        <w:t xml:space="preserve"> </w:t>
      </w:r>
      <w:r w:rsidRPr="00FB2FBE">
        <w:t>Scientific</w:t>
      </w:r>
      <w:r w:rsidRPr="002E0B1D">
        <w:t xml:space="preserve"> </w:t>
      </w:r>
      <w:r w:rsidRPr="00FB2FBE">
        <w:t>and</w:t>
      </w:r>
      <w:r w:rsidRPr="002E0B1D">
        <w:t xml:space="preserve"> </w:t>
      </w:r>
      <w:r w:rsidRPr="00FB2FBE">
        <w:t>Industrial</w:t>
      </w:r>
      <w:r w:rsidRPr="002E0B1D">
        <w:t xml:space="preserve"> </w:t>
      </w:r>
      <w:r w:rsidRPr="00FB2FBE">
        <w:t>Research</w:t>
      </w:r>
      <w:r w:rsidRPr="002E0B1D">
        <w:t xml:space="preserve"> </w:t>
      </w:r>
      <w:r w:rsidRPr="00FB2FBE">
        <w:t>CSIRO),</w:t>
      </w:r>
    </w:p>
    <w:p w14:paraId="51EBDFC9" w14:textId="02CC7357" w:rsidR="00207F89" w:rsidRPr="00FB2FBE" w:rsidRDefault="00CD1144" w:rsidP="002E0B1D">
      <w:pPr>
        <w:pStyle w:val="ListParagraph"/>
        <w:numPr>
          <w:ilvl w:val="1"/>
          <w:numId w:val="1"/>
        </w:numPr>
        <w:tabs>
          <w:tab w:val="left" w:pos="851"/>
          <w:tab w:val="left" w:pos="9639"/>
        </w:tabs>
        <w:spacing w:before="120"/>
        <w:ind w:left="850" w:right="6" w:hanging="425"/>
        <w:jc w:val="both"/>
      </w:pPr>
      <w:r w:rsidRPr="00FB2FBE">
        <w:t>key</w:t>
      </w:r>
      <w:r w:rsidRPr="002E0B1D">
        <w:t xml:space="preserve"> </w:t>
      </w:r>
      <w:r w:rsidRPr="00FB2FBE">
        <w:t>findings</w:t>
      </w:r>
      <w:r w:rsidRPr="002E0B1D">
        <w:t xml:space="preserve"> </w:t>
      </w:r>
      <w:r w:rsidRPr="00FB2FBE">
        <w:t>of</w:t>
      </w:r>
      <w:r w:rsidRPr="002E0B1D">
        <w:t xml:space="preserve"> </w:t>
      </w:r>
      <w:r w:rsidRPr="00FB2FBE">
        <w:t>the</w:t>
      </w:r>
      <w:r w:rsidRPr="002E0B1D">
        <w:t xml:space="preserve"> </w:t>
      </w:r>
      <w:r w:rsidRPr="00FB2FBE">
        <w:t>public</w:t>
      </w:r>
      <w:r w:rsidRPr="002E0B1D">
        <w:t xml:space="preserve"> </w:t>
      </w:r>
      <w:r w:rsidRPr="00FB2FBE">
        <w:t>CSIRO</w:t>
      </w:r>
      <w:r w:rsidRPr="002E0B1D">
        <w:t xml:space="preserve"> </w:t>
      </w:r>
      <w:r w:rsidRPr="00FB2FBE">
        <w:t>report</w:t>
      </w:r>
      <w:r w:rsidRPr="002E0B1D">
        <w:t xml:space="preserve"> </w:t>
      </w:r>
      <w:r w:rsidRPr="00FB2FBE">
        <w:t>and</w:t>
      </w:r>
      <w:r w:rsidRPr="002E0B1D">
        <w:t xml:space="preserve"> </w:t>
      </w:r>
      <w:r w:rsidRPr="00FB2FBE">
        <w:t>recent</w:t>
      </w:r>
      <w:r w:rsidRPr="002E0B1D">
        <w:t xml:space="preserve"> </w:t>
      </w:r>
      <w:r w:rsidRPr="00FB2FBE">
        <w:t>government investment</w:t>
      </w:r>
      <w:r w:rsidRPr="002E0B1D">
        <w:t xml:space="preserve"> </w:t>
      </w:r>
      <w:r w:rsidRPr="00FB2FBE">
        <w:t>decisions</w:t>
      </w:r>
      <w:r w:rsidRPr="002E0B1D">
        <w:t xml:space="preserve"> </w:t>
      </w:r>
      <w:r w:rsidRPr="00FB2FBE">
        <w:t>as</w:t>
      </w:r>
      <w:r w:rsidRPr="002E0B1D">
        <w:t xml:space="preserve"> </w:t>
      </w:r>
      <w:r w:rsidRPr="00FB2FBE">
        <w:t>reflected</w:t>
      </w:r>
      <w:r w:rsidRPr="002E0B1D">
        <w:t xml:space="preserve"> </w:t>
      </w:r>
      <w:r w:rsidRPr="00FB2FBE">
        <w:t>in</w:t>
      </w:r>
      <w:r w:rsidRPr="002E0B1D">
        <w:t xml:space="preserve"> </w:t>
      </w:r>
      <w:r w:rsidRPr="00FB2FBE">
        <w:t>the</w:t>
      </w:r>
      <w:r w:rsidRPr="002E0B1D">
        <w:t xml:space="preserve"> </w:t>
      </w:r>
      <w:r w:rsidRPr="00FB2FBE">
        <w:t>2022</w:t>
      </w:r>
      <w:r w:rsidRPr="002E0B1D">
        <w:t xml:space="preserve"> </w:t>
      </w:r>
      <w:r w:rsidRPr="00FB2FBE">
        <w:t>State</w:t>
      </w:r>
      <w:r w:rsidRPr="002E0B1D">
        <w:t xml:space="preserve"> </w:t>
      </w:r>
      <w:r w:rsidRPr="00FB2FBE">
        <w:t>Budget.</w:t>
      </w:r>
    </w:p>
    <w:p w14:paraId="51EBDFCA" w14:textId="0180D0E0" w:rsidR="00207F89" w:rsidRPr="00FB2FBE" w:rsidRDefault="00CD1144" w:rsidP="002E0B1D">
      <w:pPr>
        <w:pStyle w:val="ListParagraph"/>
        <w:numPr>
          <w:ilvl w:val="1"/>
          <w:numId w:val="1"/>
        </w:numPr>
        <w:tabs>
          <w:tab w:val="left" w:pos="851"/>
          <w:tab w:val="left" w:pos="9639"/>
        </w:tabs>
        <w:spacing w:before="120"/>
        <w:ind w:left="850" w:right="6" w:hanging="425"/>
        <w:jc w:val="both"/>
      </w:pPr>
      <w:r w:rsidRPr="002E0B1D">
        <w:t xml:space="preserve">the Government’s decision that the Environmental Impact Statement and </w:t>
      </w:r>
      <w:r w:rsidRPr="00FB2FBE">
        <w:t>Detailed</w:t>
      </w:r>
      <w:r w:rsidRPr="002E0B1D">
        <w:t xml:space="preserve"> </w:t>
      </w:r>
      <w:r w:rsidRPr="00FB2FBE">
        <w:t>Business</w:t>
      </w:r>
      <w:r w:rsidRPr="002E0B1D">
        <w:t xml:space="preserve"> </w:t>
      </w:r>
      <w:r w:rsidRPr="00FB2FBE">
        <w:t>Case</w:t>
      </w:r>
      <w:r w:rsidRPr="002E0B1D">
        <w:t xml:space="preserve"> </w:t>
      </w:r>
      <w:r w:rsidRPr="00FB2FBE">
        <w:t>for</w:t>
      </w:r>
      <w:r w:rsidRPr="002E0B1D">
        <w:t xml:space="preserve"> </w:t>
      </w:r>
      <w:r w:rsidRPr="00FB2FBE">
        <w:t>raising</w:t>
      </w:r>
      <w:r w:rsidRPr="002E0B1D">
        <w:t xml:space="preserve"> </w:t>
      </w:r>
      <w:r w:rsidRPr="00FB2FBE">
        <w:t>Burdekin</w:t>
      </w:r>
      <w:r w:rsidRPr="002E0B1D">
        <w:t xml:space="preserve"> </w:t>
      </w:r>
      <w:r w:rsidRPr="00FB2FBE">
        <w:t>Falls</w:t>
      </w:r>
      <w:r w:rsidRPr="002E0B1D">
        <w:t xml:space="preserve"> </w:t>
      </w:r>
      <w:r w:rsidRPr="00FB2FBE">
        <w:t>Dam</w:t>
      </w:r>
      <w:r w:rsidRPr="002E0B1D">
        <w:t xml:space="preserve"> </w:t>
      </w:r>
      <w:r w:rsidRPr="00FB2FBE">
        <w:t>will</w:t>
      </w:r>
      <w:r w:rsidRPr="002E0B1D">
        <w:t xml:space="preserve"> </w:t>
      </w:r>
      <w:r w:rsidRPr="00FB2FBE">
        <w:t>proceed</w:t>
      </w:r>
      <w:r w:rsidRPr="002E0B1D">
        <w:t xml:space="preserve"> </w:t>
      </w:r>
      <w:r w:rsidRPr="00FB2FBE">
        <w:t>on</w:t>
      </w:r>
      <w:r w:rsidRPr="002E0B1D">
        <w:t xml:space="preserve"> </w:t>
      </w:r>
      <w:r w:rsidRPr="00FB2FBE">
        <w:t>the</w:t>
      </w:r>
      <w:r w:rsidRPr="002E0B1D">
        <w:t xml:space="preserve"> </w:t>
      </w:r>
      <w:r w:rsidRPr="00FB2FBE">
        <w:t>basis</w:t>
      </w:r>
      <w:r w:rsidRPr="002E0B1D">
        <w:t xml:space="preserve"> </w:t>
      </w:r>
      <w:r w:rsidRPr="00FB2FBE">
        <w:t>of</w:t>
      </w:r>
      <w:r w:rsidRPr="002E0B1D">
        <w:t xml:space="preserve"> </w:t>
      </w:r>
      <w:r w:rsidRPr="00FB2FBE">
        <w:t>a</w:t>
      </w:r>
      <w:r w:rsidRPr="002E0B1D">
        <w:t xml:space="preserve"> </w:t>
      </w:r>
      <w:r w:rsidRPr="00FB2FBE">
        <w:t>two-metre</w:t>
      </w:r>
      <w:r w:rsidRPr="002E0B1D">
        <w:t xml:space="preserve"> </w:t>
      </w:r>
      <w:r w:rsidRPr="00FB2FBE">
        <w:t>raise,</w:t>
      </w:r>
      <w:r w:rsidRPr="002E0B1D">
        <w:t xml:space="preserve"> </w:t>
      </w:r>
      <w:r w:rsidRPr="00FB2FBE">
        <w:t>delivering</w:t>
      </w:r>
      <w:r w:rsidRPr="002E0B1D">
        <w:t xml:space="preserve"> </w:t>
      </w:r>
      <w:r w:rsidR="000A672A" w:rsidRPr="002E0B1D">
        <w:t xml:space="preserve">an additional yield of </w:t>
      </w:r>
      <w:r w:rsidRPr="00FB2FBE">
        <w:t>150,000</w:t>
      </w:r>
      <w:r w:rsidRPr="002E0B1D">
        <w:t xml:space="preserve"> </w:t>
      </w:r>
      <w:r w:rsidRPr="00FB2FBE">
        <w:t>megalitres</w:t>
      </w:r>
      <w:r w:rsidRPr="002E0B1D">
        <w:t xml:space="preserve"> </w:t>
      </w:r>
      <w:r w:rsidRPr="00FB2FBE">
        <w:t>of</w:t>
      </w:r>
      <w:r w:rsidRPr="002E0B1D">
        <w:t xml:space="preserve"> </w:t>
      </w:r>
      <w:r w:rsidRPr="00FB2FBE">
        <w:t>water</w:t>
      </w:r>
      <w:r w:rsidRPr="002E0B1D">
        <w:t xml:space="preserve"> </w:t>
      </w:r>
      <w:r w:rsidR="000A672A" w:rsidRPr="002E0B1D">
        <w:t xml:space="preserve">per year </w:t>
      </w:r>
      <w:r w:rsidRPr="00FB2FBE">
        <w:t>(a</w:t>
      </w:r>
      <w:r w:rsidRPr="002E0B1D">
        <w:t xml:space="preserve"> </w:t>
      </w:r>
      <w:r w:rsidRPr="00FB2FBE">
        <w:t>13</w:t>
      </w:r>
      <w:r w:rsidRPr="002E0B1D">
        <w:t xml:space="preserve"> </w:t>
      </w:r>
      <w:r w:rsidRPr="00FB2FBE">
        <w:t>per</w:t>
      </w:r>
      <w:r w:rsidRPr="002E0B1D">
        <w:t xml:space="preserve"> </w:t>
      </w:r>
      <w:r w:rsidRPr="00FB2FBE">
        <w:t>cent</w:t>
      </w:r>
      <w:r w:rsidR="000A672A" w:rsidRPr="00FB2FBE">
        <w:t xml:space="preserve"> increase</w:t>
      </w:r>
      <w:r w:rsidRPr="00FB2FBE">
        <w:t>).</w:t>
      </w:r>
    </w:p>
    <w:p w14:paraId="51EBDFCF" w14:textId="416C642F" w:rsidR="00207F89" w:rsidRPr="00FB2FBE" w:rsidRDefault="00CD1144" w:rsidP="002E0B1D">
      <w:pPr>
        <w:pStyle w:val="BodyText"/>
        <w:numPr>
          <w:ilvl w:val="0"/>
          <w:numId w:val="2"/>
        </w:numPr>
        <w:tabs>
          <w:tab w:val="left" w:pos="426"/>
          <w:tab w:val="left" w:pos="941"/>
          <w:tab w:val="left" w:pos="942"/>
          <w:tab w:val="left" w:pos="9639"/>
        </w:tabs>
        <w:spacing w:before="240"/>
        <w:ind w:left="425" w:right="6" w:hanging="425"/>
        <w:jc w:val="both"/>
      </w:pPr>
      <w:r w:rsidRPr="002E0B1D">
        <w:rPr>
          <w:u w:val="single"/>
        </w:rPr>
        <w:t>Cabinet noted</w:t>
      </w:r>
      <w:r w:rsidR="000A672A" w:rsidRPr="002E0B1D">
        <w:t xml:space="preserve"> </w:t>
      </w:r>
      <w:r w:rsidR="0003227F" w:rsidRPr="002E0B1D">
        <w:t xml:space="preserve">that </w:t>
      </w:r>
      <w:r w:rsidR="000A672A" w:rsidRPr="002E0B1D">
        <w:t>t</w:t>
      </w:r>
      <w:r w:rsidRPr="002E0B1D">
        <w:t xml:space="preserve">he Bradfield Regional Assessment and Development </w:t>
      </w:r>
      <w:r w:rsidR="0003227F" w:rsidRPr="002E0B1D">
        <w:t xml:space="preserve">Panel </w:t>
      </w:r>
      <w:r w:rsidRPr="002E0B1D">
        <w:t xml:space="preserve">Report and Queensland Government </w:t>
      </w:r>
      <w:r w:rsidRPr="00FB2FBE">
        <w:t>Response</w:t>
      </w:r>
      <w:r w:rsidRPr="002E0B1D">
        <w:t xml:space="preserve"> </w:t>
      </w:r>
      <w:r w:rsidRPr="00FB2FBE">
        <w:t>be</w:t>
      </w:r>
      <w:r w:rsidRPr="002E0B1D">
        <w:t xml:space="preserve"> </w:t>
      </w:r>
      <w:r w:rsidRPr="00FB2FBE">
        <w:t>published.</w:t>
      </w:r>
    </w:p>
    <w:p w14:paraId="51EBDFD0" w14:textId="1585C78C" w:rsidR="00207F89" w:rsidRPr="00FB2FBE" w:rsidRDefault="000A672A" w:rsidP="002E0B1D">
      <w:pPr>
        <w:pStyle w:val="BodyText"/>
        <w:numPr>
          <w:ilvl w:val="0"/>
          <w:numId w:val="2"/>
        </w:numPr>
        <w:tabs>
          <w:tab w:val="left" w:pos="426"/>
          <w:tab w:val="left" w:pos="941"/>
          <w:tab w:val="left" w:pos="942"/>
          <w:tab w:val="left" w:pos="9639"/>
        </w:tabs>
        <w:spacing w:before="240"/>
        <w:ind w:left="425" w:right="6" w:hanging="425"/>
        <w:jc w:val="both"/>
      </w:pPr>
      <w:r w:rsidRPr="002E0B1D">
        <w:rPr>
          <w:u w:val="single"/>
        </w:rPr>
        <w:t>Cabinet</w:t>
      </w:r>
      <w:r w:rsidRPr="00FB2FBE">
        <w:rPr>
          <w:u w:val="single"/>
        </w:rPr>
        <w:t xml:space="preserve"> noted</w:t>
      </w:r>
      <w:r w:rsidRPr="00FB2FBE">
        <w:t xml:space="preserve"> </w:t>
      </w:r>
      <w:r w:rsidR="00CD1144" w:rsidRPr="00FB2FBE">
        <w:t>the</w:t>
      </w:r>
      <w:r w:rsidR="00CD1144" w:rsidRPr="002E0B1D">
        <w:t xml:space="preserve"> </w:t>
      </w:r>
      <w:r w:rsidR="00937B1A" w:rsidRPr="002E0B1D">
        <w:t xml:space="preserve">Queensland Government </w:t>
      </w:r>
      <w:r w:rsidR="00CD1144" w:rsidRPr="002E0B1D">
        <w:t xml:space="preserve">Response </w:t>
      </w:r>
      <w:r w:rsidR="00CD1144" w:rsidRPr="00FB2FBE">
        <w:t>considers</w:t>
      </w:r>
      <w:r w:rsidR="00CD1144" w:rsidRPr="002E0B1D">
        <w:t xml:space="preserve"> </w:t>
      </w:r>
      <w:r w:rsidR="00CD1144" w:rsidRPr="00FB2FBE">
        <w:t>the</w:t>
      </w:r>
      <w:r w:rsidR="00CD1144" w:rsidRPr="002E0B1D">
        <w:t xml:space="preserve"> </w:t>
      </w:r>
      <w:r w:rsidR="00CD1144" w:rsidRPr="00FB2FBE">
        <w:t>CSIRO’s</w:t>
      </w:r>
      <w:r w:rsidR="00CD1144" w:rsidRPr="002E0B1D">
        <w:t xml:space="preserve"> </w:t>
      </w:r>
      <w:r w:rsidR="00CD1144" w:rsidRPr="00FB2FBE">
        <w:t>assessment</w:t>
      </w:r>
      <w:r w:rsidR="00CD1144" w:rsidRPr="002E0B1D">
        <w:t xml:space="preserve"> </w:t>
      </w:r>
      <w:r w:rsidR="00CD1144" w:rsidRPr="00FB2FBE">
        <w:t>as</w:t>
      </w:r>
      <w:r w:rsidR="00CD1144" w:rsidRPr="002E0B1D">
        <w:t xml:space="preserve"> </w:t>
      </w:r>
      <w:r w:rsidR="00CD1144" w:rsidRPr="00FB2FBE">
        <w:t>part</w:t>
      </w:r>
      <w:r w:rsidR="00CD1144" w:rsidRPr="002E0B1D">
        <w:t xml:space="preserve"> </w:t>
      </w:r>
      <w:r w:rsidR="00CD1144" w:rsidRPr="00FB2FBE">
        <w:t>of</w:t>
      </w:r>
      <w:r w:rsidR="00CD1144" w:rsidRPr="002E0B1D">
        <w:t xml:space="preserve"> </w:t>
      </w:r>
      <w:r w:rsidR="00CD1144" w:rsidRPr="00FB2FBE">
        <w:t>the</w:t>
      </w:r>
      <w:r w:rsidR="00CD1144" w:rsidRPr="002E0B1D">
        <w:t xml:space="preserve"> </w:t>
      </w:r>
      <w:r w:rsidR="00CD1144" w:rsidRPr="00FB2FBE">
        <w:t>Queensland</w:t>
      </w:r>
      <w:r w:rsidR="00CD1144" w:rsidRPr="002E0B1D">
        <w:t xml:space="preserve"> </w:t>
      </w:r>
      <w:r w:rsidR="00CD1144" w:rsidRPr="00FB2FBE">
        <w:t xml:space="preserve">Government’s response to the </w:t>
      </w:r>
      <w:r w:rsidR="00937B1A" w:rsidRPr="00FB2FBE">
        <w:t>r</w:t>
      </w:r>
      <w:r w:rsidR="00CD1144" w:rsidRPr="00FB2FBE">
        <w:t>eport.</w:t>
      </w:r>
    </w:p>
    <w:p w14:paraId="51EBDFD4" w14:textId="46AB0DD1" w:rsidR="00207F89" w:rsidRPr="00FB2FBE" w:rsidRDefault="00CD1144" w:rsidP="00611FB0">
      <w:pPr>
        <w:pStyle w:val="BodyText"/>
        <w:numPr>
          <w:ilvl w:val="0"/>
          <w:numId w:val="2"/>
        </w:numPr>
        <w:tabs>
          <w:tab w:val="left" w:pos="426"/>
          <w:tab w:val="left" w:pos="9639"/>
        </w:tabs>
        <w:spacing w:before="360"/>
        <w:ind w:left="425" w:right="6" w:hanging="425"/>
        <w:jc w:val="both"/>
        <w:rPr>
          <w:i/>
        </w:rPr>
      </w:pPr>
      <w:r w:rsidRPr="002E0B1D">
        <w:rPr>
          <w:i/>
          <w:u w:val="single"/>
        </w:rPr>
        <w:t>Attachments</w:t>
      </w:r>
      <w:r w:rsidR="00FB2FBE">
        <w:rPr>
          <w:iCs/>
        </w:rPr>
        <w:t>:</w:t>
      </w:r>
    </w:p>
    <w:p w14:paraId="51EBDFD5" w14:textId="7290160B" w:rsidR="00207F89" w:rsidRPr="00FB2FBE" w:rsidRDefault="00205455" w:rsidP="002E0B1D">
      <w:pPr>
        <w:pStyle w:val="ListParagraph"/>
        <w:numPr>
          <w:ilvl w:val="1"/>
          <w:numId w:val="1"/>
        </w:numPr>
        <w:tabs>
          <w:tab w:val="left" w:pos="851"/>
          <w:tab w:val="left" w:pos="9639"/>
        </w:tabs>
        <w:spacing w:before="120"/>
        <w:ind w:left="850" w:right="6" w:hanging="425"/>
        <w:jc w:val="both"/>
      </w:pPr>
      <w:hyperlink r:id="rId9" w:history="1">
        <w:r w:rsidR="00CD1144" w:rsidRPr="002574DF">
          <w:rPr>
            <w:rStyle w:val="Hyperlink"/>
          </w:rPr>
          <w:t>Bradfield Regional Assessment and Development Panel Report</w:t>
        </w:r>
      </w:hyperlink>
    </w:p>
    <w:p w14:paraId="51EBDFD7" w14:textId="2C6DB904" w:rsidR="00207F89" w:rsidRDefault="00205455" w:rsidP="00FB2FBE">
      <w:pPr>
        <w:pStyle w:val="ListParagraph"/>
        <w:numPr>
          <w:ilvl w:val="1"/>
          <w:numId w:val="1"/>
        </w:numPr>
        <w:tabs>
          <w:tab w:val="left" w:pos="851"/>
          <w:tab w:val="left" w:pos="9639"/>
        </w:tabs>
        <w:spacing w:before="120"/>
        <w:ind w:left="850" w:right="6" w:hanging="425"/>
        <w:jc w:val="both"/>
      </w:pPr>
      <w:hyperlink r:id="rId10" w:history="1">
        <w:r w:rsidR="00CD1144" w:rsidRPr="002574DF">
          <w:rPr>
            <w:rStyle w:val="Hyperlink"/>
          </w:rPr>
          <w:t xml:space="preserve">Bradfield Regional </w:t>
        </w:r>
        <w:r w:rsidR="00842E4F" w:rsidRPr="002574DF">
          <w:rPr>
            <w:rStyle w:val="Hyperlink"/>
          </w:rPr>
          <w:t xml:space="preserve">Assessment and </w:t>
        </w:r>
        <w:r w:rsidR="00CD1144" w:rsidRPr="002574DF">
          <w:rPr>
            <w:rStyle w:val="Hyperlink"/>
          </w:rPr>
          <w:t xml:space="preserve">Development </w:t>
        </w:r>
        <w:r w:rsidR="00842E4F" w:rsidRPr="002574DF">
          <w:rPr>
            <w:rStyle w:val="Hyperlink"/>
          </w:rPr>
          <w:t>Panel</w:t>
        </w:r>
        <w:r w:rsidR="00CD1144" w:rsidRPr="002574DF">
          <w:rPr>
            <w:rStyle w:val="Hyperlink"/>
          </w:rPr>
          <w:t xml:space="preserve"> Report - Summary</w:t>
        </w:r>
      </w:hyperlink>
    </w:p>
    <w:p w14:paraId="67860094" w14:textId="2E8A51B1" w:rsidR="00FB2FBE" w:rsidRPr="00FB2FBE" w:rsidRDefault="00205455" w:rsidP="002E0B1D">
      <w:pPr>
        <w:pStyle w:val="ListParagraph"/>
        <w:numPr>
          <w:ilvl w:val="1"/>
          <w:numId w:val="1"/>
        </w:numPr>
        <w:tabs>
          <w:tab w:val="left" w:pos="851"/>
          <w:tab w:val="left" w:pos="9639"/>
        </w:tabs>
        <w:spacing w:before="120"/>
        <w:ind w:left="850" w:right="6" w:hanging="425"/>
        <w:jc w:val="both"/>
      </w:pPr>
      <w:hyperlink r:id="rId11" w:history="1">
        <w:r w:rsidR="00FB2FBE" w:rsidRPr="002574DF">
          <w:rPr>
            <w:rStyle w:val="Hyperlink"/>
          </w:rPr>
          <w:t>Bradfield Regional Assessment and Development Panel Report – Queensland Government Response</w:t>
        </w:r>
      </w:hyperlink>
    </w:p>
    <w:sectPr w:rsidR="00FB2FBE" w:rsidRPr="00FB2FBE" w:rsidSect="00611FB0">
      <w:headerReference w:type="even" r:id="rId12"/>
      <w:headerReference w:type="default" r:id="rId13"/>
      <w:headerReference w:type="first" r:id="rId14"/>
      <w:pgSz w:w="11910" w:h="16840" w:code="9"/>
      <w:pgMar w:top="1134" w:right="1134" w:bottom="709"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077C" w14:textId="77777777" w:rsidR="00A002E1" w:rsidRDefault="00A002E1" w:rsidP="0082371D">
      <w:r>
        <w:separator/>
      </w:r>
    </w:p>
  </w:endnote>
  <w:endnote w:type="continuationSeparator" w:id="0">
    <w:p w14:paraId="3F1B7DE4" w14:textId="77777777" w:rsidR="00A002E1" w:rsidRDefault="00A002E1" w:rsidP="00823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4B3B" w14:textId="77777777" w:rsidR="00A002E1" w:rsidRDefault="00A002E1" w:rsidP="0082371D">
      <w:r>
        <w:separator/>
      </w:r>
    </w:p>
  </w:footnote>
  <w:footnote w:type="continuationSeparator" w:id="0">
    <w:p w14:paraId="0D8E4A5B" w14:textId="77777777" w:rsidR="00A002E1" w:rsidRDefault="00A002E1" w:rsidP="00823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341C" w14:textId="3DBFBDB1" w:rsidR="00205455" w:rsidRDefault="00205455">
    <w:pPr>
      <w:pStyle w:val="Header"/>
    </w:pPr>
    <w:r>
      <w:rPr>
        <w:noProof/>
      </w:rPr>
      <mc:AlternateContent>
        <mc:Choice Requires="wps">
          <w:drawing>
            <wp:anchor distT="0" distB="0" distL="0" distR="0" simplePos="0" relativeHeight="251659264" behindDoc="0" locked="0" layoutInCell="1" allowOverlap="1" wp14:anchorId="7FDCF1AF" wp14:editId="71EE497A">
              <wp:simplePos x="635" y="635"/>
              <wp:positionH relativeFrom="page">
                <wp:align>center</wp:align>
              </wp:positionH>
              <wp:positionV relativeFrom="page">
                <wp:align>top</wp:align>
              </wp:positionV>
              <wp:extent cx="443865" cy="443865"/>
              <wp:effectExtent l="0" t="0" r="14605" b="13970"/>
              <wp:wrapNone/>
              <wp:docPr id="12297906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0359B6" w14:textId="5C95587B" w:rsidR="00205455" w:rsidRPr="00205455" w:rsidRDefault="00205455" w:rsidP="00205455">
                          <w:pPr>
                            <w:rPr>
                              <w:rFonts w:ascii="Calibri" w:eastAsia="Calibri" w:hAnsi="Calibri" w:cs="Calibri"/>
                              <w:noProof/>
                              <w:color w:val="008000"/>
                              <w:sz w:val="40"/>
                              <w:szCs w:val="40"/>
                            </w:rPr>
                          </w:pPr>
                          <w:r w:rsidRPr="00205455">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DCF1AF"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50359B6" w14:textId="5C95587B" w:rsidR="00205455" w:rsidRPr="00205455" w:rsidRDefault="00205455" w:rsidP="00205455">
                    <w:pPr>
                      <w:rPr>
                        <w:rFonts w:ascii="Calibri" w:eastAsia="Calibri" w:hAnsi="Calibri" w:cs="Calibri"/>
                        <w:noProof/>
                        <w:color w:val="008000"/>
                        <w:sz w:val="40"/>
                        <w:szCs w:val="40"/>
                      </w:rPr>
                    </w:pPr>
                    <w:r w:rsidRPr="00205455">
                      <w:rPr>
                        <w:rFonts w:ascii="Calibri" w:eastAsia="Calibri" w:hAnsi="Calibri" w:cs="Calibri"/>
                        <w:noProof/>
                        <w:color w:val="008000"/>
                        <w:sz w:val="40"/>
                        <w:szCs w:val="4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3F8EB" w14:textId="6CFFEF54" w:rsidR="000B1D79" w:rsidRPr="00937A4A" w:rsidRDefault="00205455" w:rsidP="000B1D79">
    <w:pPr>
      <w:pBdr>
        <w:top w:val="thinThickLargeGap" w:sz="24" w:space="4" w:color="auto"/>
        <w:left w:val="thinThickLargeGap" w:sz="24" w:space="4" w:color="auto"/>
        <w:bottom w:val="thickThinLargeGap" w:sz="24" w:space="4" w:color="auto"/>
        <w:right w:val="thickThinLargeGap" w:sz="24" w:space="4" w:color="auto"/>
      </w:pBdr>
      <w:jc w:val="center"/>
      <w:rPr>
        <w:b/>
        <w:sz w:val="28"/>
      </w:rPr>
    </w:pPr>
    <w:r>
      <w:rPr>
        <w:b/>
        <w:noProof/>
        <w:sz w:val="28"/>
      </w:rPr>
      <mc:AlternateContent>
        <mc:Choice Requires="wps">
          <w:drawing>
            <wp:anchor distT="0" distB="0" distL="0" distR="0" simplePos="0" relativeHeight="251660288" behindDoc="0" locked="0" layoutInCell="1" allowOverlap="1" wp14:anchorId="318D63A6" wp14:editId="18B5BEC3">
              <wp:simplePos x="635" y="635"/>
              <wp:positionH relativeFrom="page">
                <wp:align>center</wp:align>
              </wp:positionH>
              <wp:positionV relativeFrom="page">
                <wp:align>top</wp:align>
              </wp:positionV>
              <wp:extent cx="443865" cy="443865"/>
              <wp:effectExtent l="0" t="0" r="14605" b="13970"/>
              <wp:wrapNone/>
              <wp:docPr id="19646043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77F8D" w14:textId="3B05216F" w:rsidR="00205455" w:rsidRPr="00205455" w:rsidRDefault="00205455" w:rsidP="00205455">
                          <w:pPr>
                            <w:rPr>
                              <w:rFonts w:ascii="Calibri" w:eastAsia="Calibri" w:hAnsi="Calibri" w:cs="Calibri"/>
                              <w:noProof/>
                              <w:color w:val="008000"/>
                              <w:sz w:val="40"/>
                              <w:szCs w:val="40"/>
                            </w:rPr>
                          </w:pPr>
                          <w:r w:rsidRPr="00205455">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D63A6"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977F8D" w14:textId="3B05216F" w:rsidR="00205455" w:rsidRPr="00205455" w:rsidRDefault="00205455" w:rsidP="00205455">
                    <w:pPr>
                      <w:rPr>
                        <w:rFonts w:ascii="Calibri" w:eastAsia="Calibri" w:hAnsi="Calibri" w:cs="Calibri"/>
                        <w:noProof/>
                        <w:color w:val="008000"/>
                        <w:sz w:val="40"/>
                        <w:szCs w:val="40"/>
                      </w:rPr>
                    </w:pPr>
                    <w:r w:rsidRPr="00205455">
                      <w:rPr>
                        <w:rFonts w:ascii="Calibri" w:eastAsia="Calibri" w:hAnsi="Calibri" w:cs="Calibri"/>
                        <w:noProof/>
                        <w:color w:val="008000"/>
                        <w:sz w:val="40"/>
                        <w:szCs w:val="40"/>
                      </w:rPr>
                      <w:t>OFFICIAL</w:t>
                    </w:r>
                  </w:p>
                </w:txbxContent>
              </v:textbox>
              <w10:wrap anchorx="page" anchory="page"/>
            </v:shape>
          </w:pict>
        </mc:Fallback>
      </mc:AlternateContent>
    </w:r>
    <w:r w:rsidR="000B1D79" w:rsidRPr="00937A4A">
      <w:rPr>
        <w:b/>
        <w:sz w:val="28"/>
      </w:rPr>
      <w:t>Queensland Government</w:t>
    </w:r>
  </w:p>
  <w:p w14:paraId="68311FB1" w14:textId="77777777" w:rsidR="000B1D79" w:rsidRPr="00937A4A" w:rsidRDefault="000B1D79" w:rsidP="000B1D79">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b/>
        <w:sz w:val="14"/>
        <w:u w:val="single"/>
      </w:rPr>
    </w:pPr>
  </w:p>
  <w:p w14:paraId="3F99BEB7" w14:textId="48939EE5" w:rsidR="000B1D79" w:rsidRPr="00937A4A" w:rsidRDefault="000B1D79" w:rsidP="000B1D79">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b/>
      </w:rPr>
    </w:pPr>
    <w:r w:rsidRPr="00937A4A">
      <w:rPr>
        <w:b/>
      </w:rPr>
      <w:t xml:space="preserve">Cabinet – </w:t>
    </w:r>
    <w:r>
      <w:rPr>
        <w:b/>
      </w:rPr>
      <w:t>November 2022</w:t>
    </w:r>
  </w:p>
  <w:p w14:paraId="08363E29" w14:textId="17400262" w:rsidR="000B1D79" w:rsidRDefault="000B1D79" w:rsidP="00611FB0">
    <w:pPr>
      <w:pStyle w:val="Header"/>
      <w:spacing w:before="120"/>
      <w:jc w:val="both"/>
      <w:rPr>
        <w:b/>
        <w:u w:val="single"/>
      </w:rPr>
    </w:pPr>
    <w:r w:rsidRPr="000B1D79">
      <w:rPr>
        <w:b/>
        <w:u w:val="single"/>
      </w:rPr>
      <w:t>Release of the Bradfield Regional Assessment and Development Panel Report and Queensland Government Response</w:t>
    </w:r>
  </w:p>
  <w:p w14:paraId="23FB6FE8" w14:textId="10B51F29" w:rsidR="000B1D79" w:rsidRDefault="000B1D79" w:rsidP="00611FB0">
    <w:pPr>
      <w:pStyle w:val="Header"/>
      <w:spacing w:before="120"/>
      <w:jc w:val="both"/>
      <w:rPr>
        <w:b/>
        <w:u w:val="single"/>
      </w:rPr>
    </w:pPr>
    <w:r w:rsidRPr="000B1D79">
      <w:rPr>
        <w:b/>
        <w:u w:val="single"/>
      </w:rPr>
      <w:t>Minister for Regional Development and Manufacturing and Minister for Water</w:t>
    </w:r>
  </w:p>
  <w:p w14:paraId="0000D5ED" w14:textId="77777777" w:rsidR="000B1D79" w:rsidRDefault="000B1D79" w:rsidP="000B1D7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4DAC" w14:textId="26548B36" w:rsidR="00205455" w:rsidRDefault="00205455">
    <w:pPr>
      <w:pStyle w:val="Header"/>
    </w:pPr>
    <w:r>
      <w:rPr>
        <w:noProof/>
      </w:rPr>
      <mc:AlternateContent>
        <mc:Choice Requires="wps">
          <w:drawing>
            <wp:anchor distT="0" distB="0" distL="0" distR="0" simplePos="0" relativeHeight="251658240" behindDoc="0" locked="0" layoutInCell="1" allowOverlap="1" wp14:anchorId="146D57E2" wp14:editId="4DF36FCF">
              <wp:simplePos x="635" y="635"/>
              <wp:positionH relativeFrom="page">
                <wp:align>center</wp:align>
              </wp:positionH>
              <wp:positionV relativeFrom="page">
                <wp:align>top</wp:align>
              </wp:positionV>
              <wp:extent cx="443865" cy="443865"/>
              <wp:effectExtent l="0" t="0" r="14605" b="13970"/>
              <wp:wrapNone/>
              <wp:docPr id="129764036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D41361" w14:textId="18F84031" w:rsidR="00205455" w:rsidRPr="00205455" w:rsidRDefault="00205455" w:rsidP="00205455">
                          <w:pPr>
                            <w:rPr>
                              <w:rFonts w:ascii="Calibri" w:eastAsia="Calibri" w:hAnsi="Calibri" w:cs="Calibri"/>
                              <w:noProof/>
                              <w:color w:val="008000"/>
                              <w:sz w:val="40"/>
                              <w:szCs w:val="40"/>
                            </w:rPr>
                          </w:pPr>
                          <w:r w:rsidRPr="00205455">
                            <w:rPr>
                              <w:rFonts w:ascii="Calibri" w:eastAsia="Calibri" w:hAnsi="Calibri" w:cs="Calibri"/>
                              <w:noProof/>
                              <w:color w:val="008000"/>
                              <w:sz w:val="40"/>
                              <w:szCs w:val="4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6D57E2"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ED41361" w14:textId="18F84031" w:rsidR="00205455" w:rsidRPr="00205455" w:rsidRDefault="00205455" w:rsidP="00205455">
                    <w:pPr>
                      <w:rPr>
                        <w:rFonts w:ascii="Calibri" w:eastAsia="Calibri" w:hAnsi="Calibri" w:cs="Calibri"/>
                        <w:noProof/>
                        <w:color w:val="008000"/>
                        <w:sz w:val="40"/>
                        <w:szCs w:val="40"/>
                      </w:rPr>
                    </w:pPr>
                    <w:r w:rsidRPr="00205455">
                      <w:rPr>
                        <w:rFonts w:ascii="Calibri" w:eastAsia="Calibri" w:hAnsi="Calibri" w:cs="Calibri"/>
                        <w:noProof/>
                        <w:color w:val="008000"/>
                        <w:sz w:val="40"/>
                        <w:szCs w:val="4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1FE"/>
    <w:multiLevelType w:val="hybridMultilevel"/>
    <w:tmpl w:val="8D9E5108"/>
    <w:lvl w:ilvl="0" w:tplc="2AAA211C">
      <w:start w:val="1"/>
      <w:numFmt w:val="decimal"/>
      <w:lvlText w:val="%1."/>
      <w:lvlJc w:val="left"/>
      <w:pPr>
        <w:ind w:left="684" w:hanging="360"/>
        <w:jc w:val="left"/>
      </w:pPr>
      <w:rPr>
        <w:rFonts w:ascii="Arial" w:eastAsia="Arial" w:hAnsi="Arial" w:cs="Arial" w:hint="default"/>
        <w:b w:val="0"/>
        <w:bCs w:val="0"/>
        <w:i w:val="0"/>
        <w:iCs w:val="0"/>
        <w:spacing w:val="-1"/>
        <w:w w:val="100"/>
        <w:sz w:val="22"/>
        <w:szCs w:val="22"/>
        <w:lang w:val="en-US" w:eastAsia="en-US" w:bidi="ar-SA"/>
      </w:rPr>
    </w:lvl>
    <w:lvl w:ilvl="1" w:tplc="A1DA927E">
      <w:numFmt w:val="bullet"/>
      <w:lvlText w:val=""/>
      <w:lvlJc w:val="left"/>
      <w:pPr>
        <w:ind w:left="1135" w:hanging="456"/>
      </w:pPr>
      <w:rPr>
        <w:rFonts w:ascii="Symbol" w:eastAsia="Symbol" w:hAnsi="Symbol" w:cs="Symbol" w:hint="default"/>
        <w:b w:val="0"/>
        <w:bCs w:val="0"/>
        <w:i w:val="0"/>
        <w:iCs w:val="0"/>
        <w:w w:val="100"/>
        <w:sz w:val="23"/>
        <w:szCs w:val="23"/>
        <w:lang w:val="en-US" w:eastAsia="en-US" w:bidi="ar-SA"/>
      </w:rPr>
    </w:lvl>
    <w:lvl w:ilvl="2" w:tplc="6A72FBF8">
      <w:numFmt w:val="bullet"/>
      <w:lvlText w:val="•"/>
      <w:lvlJc w:val="left"/>
      <w:pPr>
        <w:ind w:left="2082" w:hanging="456"/>
      </w:pPr>
      <w:rPr>
        <w:rFonts w:hint="default"/>
        <w:lang w:val="en-US" w:eastAsia="en-US" w:bidi="ar-SA"/>
      </w:rPr>
    </w:lvl>
    <w:lvl w:ilvl="3" w:tplc="FC4EC9E6">
      <w:numFmt w:val="bullet"/>
      <w:lvlText w:val="•"/>
      <w:lvlJc w:val="left"/>
      <w:pPr>
        <w:ind w:left="3025" w:hanging="456"/>
      </w:pPr>
      <w:rPr>
        <w:rFonts w:hint="default"/>
        <w:lang w:val="en-US" w:eastAsia="en-US" w:bidi="ar-SA"/>
      </w:rPr>
    </w:lvl>
    <w:lvl w:ilvl="4" w:tplc="3A6CA0DE">
      <w:numFmt w:val="bullet"/>
      <w:lvlText w:val="•"/>
      <w:lvlJc w:val="left"/>
      <w:pPr>
        <w:ind w:left="3968" w:hanging="456"/>
      </w:pPr>
      <w:rPr>
        <w:rFonts w:hint="default"/>
        <w:lang w:val="en-US" w:eastAsia="en-US" w:bidi="ar-SA"/>
      </w:rPr>
    </w:lvl>
    <w:lvl w:ilvl="5" w:tplc="00EE0A9E">
      <w:numFmt w:val="bullet"/>
      <w:lvlText w:val="•"/>
      <w:lvlJc w:val="left"/>
      <w:pPr>
        <w:ind w:left="4911" w:hanging="456"/>
      </w:pPr>
      <w:rPr>
        <w:rFonts w:hint="default"/>
        <w:lang w:val="en-US" w:eastAsia="en-US" w:bidi="ar-SA"/>
      </w:rPr>
    </w:lvl>
    <w:lvl w:ilvl="6" w:tplc="8F04FB64">
      <w:numFmt w:val="bullet"/>
      <w:lvlText w:val="•"/>
      <w:lvlJc w:val="left"/>
      <w:pPr>
        <w:ind w:left="5854" w:hanging="456"/>
      </w:pPr>
      <w:rPr>
        <w:rFonts w:hint="default"/>
        <w:lang w:val="en-US" w:eastAsia="en-US" w:bidi="ar-SA"/>
      </w:rPr>
    </w:lvl>
    <w:lvl w:ilvl="7" w:tplc="DD769E54">
      <w:numFmt w:val="bullet"/>
      <w:lvlText w:val="•"/>
      <w:lvlJc w:val="left"/>
      <w:pPr>
        <w:ind w:left="6797" w:hanging="456"/>
      </w:pPr>
      <w:rPr>
        <w:rFonts w:hint="default"/>
        <w:lang w:val="en-US" w:eastAsia="en-US" w:bidi="ar-SA"/>
      </w:rPr>
    </w:lvl>
    <w:lvl w:ilvl="8" w:tplc="6714F9FE">
      <w:numFmt w:val="bullet"/>
      <w:lvlText w:val="•"/>
      <w:lvlJc w:val="left"/>
      <w:pPr>
        <w:ind w:left="7740" w:hanging="456"/>
      </w:pPr>
      <w:rPr>
        <w:rFonts w:hint="default"/>
        <w:lang w:val="en-US" w:eastAsia="en-US" w:bidi="ar-SA"/>
      </w:rPr>
    </w:lvl>
  </w:abstractNum>
  <w:abstractNum w:abstractNumId="1" w15:restartNumberingAfterBreak="0">
    <w:nsid w:val="2DEB3FF2"/>
    <w:multiLevelType w:val="hybridMultilevel"/>
    <w:tmpl w:val="69F692A8"/>
    <w:lvl w:ilvl="0" w:tplc="0D027C9C">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0ED41AE"/>
    <w:multiLevelType w:val="hybridMultilevel"/>
    <w:tmpl w:val="D0A4E216"/>
    <w:lvl w:ilvl="0" w:tplc="180006D4">
      <w:numFmt w:val="bullet"/>
      <w:lvlText w:val=""/>
      <w:lvlJc w:val="left"/>
      <w:pPr>
        <w:ind w:left="649" w:hanging="428"/>
      </w:pPr>
      <w:rPr>
        <w:rFonts w:ascii="Symbol" w:eastAsia="Symbol" w:hAnsi="Symbol" w:cs="Symbol" w:hint="default"/>
        <w:b w:val="0"/>
        <w:bCs w:val="0"/>
        <w:i w:val="0"/>
        <w:iCs w:val="0"/>
        <w:w w:val="100"/>
        <w:sz w:val="22"/>
        <w:szCs w:val="22"/>
        <w:lang w:val="en-US" w:eastAsia="en-US" w:bidi="ar-SA"/>
      </w:rPr>
    </w:lvl>
    <w:lvl w:ilvl="1" w:tplc="3DECD930">
      <w:numFmt w:val="bullet"/>
      <w:lvlText w:val=""/>
      <w:lvlJc w:val="left"/>
      <w:pPr>
        <w:ind w:left="942" w:hanging="360"/>
      </w:pPr>
      <w:rPr>
        <w:rFonts w:ascii="Symbol" w:eastAsia="Symbol" w:hAnsi="Symbol" w:cs="Symbol" w:hint="default"/>
        <w:b w:val="0"/>
        <w:bCs w:val="0"/>
        <w:i w:val="0"/>
        <w:iCs w:val="0"/>
        <w:w w:val="100"/>
        <w:sz w:val="22"/>
        <w:szCs w:val="22"/>
        <w:lang w:val="en-US" w:eastAsia="en-US" w:bidi="ar-SA"/>
      </w:rPr>
    </w:lvl>
    <w:lvl w:ilvl="2" w:tplc="9E4EC18A">
      <w:numFmt w:val="bullet"/>
      <w:lvlText w:val="•"/>
      <w:lvlJc w:val="left"/>
      <w:pPr>
        <w:ind w:left="1925" w:hanging="360"/>
      </w:pPr>
      <w:rPr>
        <w:rFonts w:hint="default"/>
        <w:lang w:val="en-US" w:eastAsia="en-US" w:bidi="ar-SA"/>
      </w:rPr>
    </w:lvl>
    <w:lvl w:ilvl="3" w:tplc="60FC2786">
      <w:numFmt w:val="bullet"/>
      <w:lvlText w:val="•"/>
      <w:lvlJc w:val="left"/>
      <w:pPr>
        <w:ind w:left="2910" w:hanging="360"/>
      </w:pPr>
      <w:rPr>
        <w:rFonts w:hint="default"/>
        <w:lang w:val="en-US" w:eastAsia="en-US" w:bidi="ar-SA"/>
      </w:rPr>
    </w:lvl>
    <w:lvl w:ilvl="4" w:tplc="84286764">
      <w:numFmt w:val="bullet"/>
      <w:lvlText w:val="•"/>
      <w:lvlJc w:val="left"/>
      <w:pPr>
        <w:ind w:left="3895" w:hanging="360"/>
      </w:pPr>
      <w:rPr>
        <w:rFonts w:hint="default"/>
        <w:lang w:val="en-US" w:eastAsia="en-US" w:bidi="ar-SA"/>
      </w:rPr>
    </w:lvl>
    <w:lvl w:ilvl="5" w:tplc="FCE8FCE0">
      <w:numFmt w:val="bullet"/>
      <w:lvlText w:val="•"/>
      <w:lvlJc w:val="left"/>
      <w:pPr>
        <w:ind w:left="4880" w:hanging="360"/>
      </w:pPr>
      <w:rPr>
        <w:rFonts w:hint="default"/>
        <w:lang w:val="en-US" w:eastAsia="en-US" w:bidi="ar-SA"/>
      </w:rPr>
    </w:lvl>
    <w:lvl w:ilvl="6" w:tplc="AE44F502">
      <w:numFmt w:val="bullet"/>
      <w:lvlText w:val="•"/>
      <w:lvlJc w:val="left"/>
      <w:pPr>
        <w:ind w:left="5865" w:hanging="360"/>
      </w:pPr>
      <w:rPr>
        <w:rFonts w:hint="default"/>
        <w:lang w:val="en-US" w:eastAsia="en-US" w:bidi="ar-SA"/>
      </w:rPr>
    </w:lvl>
    <w:lvl w:ilvl="7" w:tplc="D73EE846">
      <w:numFmt w:val="bullet"/>
      <w:lvlText w:val="•"/>
      <w:lvlJc w:val="left"/>
      <w:pPr>
        <w:ind w:left="6850" w:hanging="360"/>
      </w:pPr>
      <w:rPr>
        <w:rFonts w:hint="default"/>
        <w:lang w:val="en-US" w:eastAsia="en-US" w:bidi="ar-SA"/>
      </w:rPr>
    </w:lvl>
    <w:lvl w:ilvl="8" w:tplc="86807242">
      <w:numFmt w:val="bullet"/>
      <w:lvlText w:val="•"/>
      <w:lvlJc w:val="left"/>
      <w:pPr>
        <w:ind w:left="7836" w:hanging="360"/>
      </w:pPr>
      <w:rPr>
        <w:rFonts w:hint="default"/>
        <w:lang w:val="en-US" w:eastAsia="en-US" w:bidi="ar-SA"/>
      </w:rPr>
    </w:lvl>
  </w:abstractNum>
  <w:num w:numId="1" w16cid:durableId="1335299699">
    <w:abstractNumId w:val="2"/>
  </w:num>
  <w:num w:numId="2" w16cid:durableId="1950892564">
    <w:abstractNumId w:val="1"/>
  </w:num>
  <w:num w:numId="3" w16cid:durableId="456995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F89"/>
    <w:rsid w:val="0003227F"/>
    <w:rsid w:val="00042109"/>
    <w:rsid w:val="000A672A"/>
    <w:rsid w:val="000B1D79"/>
    <w:rsid w:val="000D021B"/>
    <w:rsid w:val="00197BFD"/>
    <w:rsid w:val="00205455"/>
    <w:rsid w:val="00207F89"/>
    <w:rsid w:val="00224008"/>
    <w:rsid w:val="002574DF"/>
    <w:rsid w:val="002E0B1D"/>
    <w:rsid w:val="004D3B13"/>
    <w:rsid w:val="00611FB0"/>
    <w:rsid w:val="0082371D"/>
    <w:rsid w:val="00842E4F"/>
    <w:rsid w:val="00937B1A"/>
    <w:rsid w:val="00A002E1"/>
    <w:rsid w:val="00AD147A"/>
    <w:rsid w:val="00BE3CE4"/>
    <w:rsid w:val="00CD1144"/>
    <w:rsid w:val="00D13636"/>
    <w:rsid w:val="00E03B44"/>
    <w:rsid w:val="00EF1C92"/>
    <w:rsid w:val="00FB2FBE"/>
    <w:rsid w:val="00FF4A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B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2"/>
      <w:ind w:left="822" w:right="95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40"/>
      <w:ind w:left="127" w:right="110" w:hanging="8"/>
      <w:jc w:val="center"/>
    </w:pPr>
    <w:rPr>
      <w:b/>
      <w:bCs/>
      <w:sz w:val="72"/>
      <w:szCs w:val="72"/>
    </w:rPr>
  </w:style>
  <w:style w:type="paragraph" w:styleId="ListParagraph">
    <w:name w:val="List Paragraph"/>
    <w:basedOn w:val="Normal"/>
    <w:uiPriority w:val="1"/>
    <w:qFormat/>
    <w:pPr>
      <w:spacing w:before="124"/>
      <w:ind w:left="94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371D"/>
    <w:pPr>
      <w:tabs>
        <w:tab w:val="center" w:pos="4513"/>
        <w:tab w:val="right" w:pos="9026"/>
      </w:tabs>
    </w:pPr>
  </w:style>
  <w:style w:type="character" w:customStyle="1" w:styleId="HeaderChar">
    <w:name w:val="Header Char"/>
    <w:basedOn w:val="DefaultParagraphFont"/>
    <w:link w:val="Header"/>
    <w:uiPriority w:val="99"/>
    <w:rsid w:val="0082371D"/>
    <w:rPr>
      <w:rFonts w:ascii="Arial" w:eastAsia="Arial" w:hAnsi="Arial" w:cs="Arial"/>
    </w:rPr>
  </w:style>
  <w:style w:type="paragraph" w:styleId="Footer">
    <w:name w:val="footer"/>
    <w:basedOn w:val="Normal"/>
    <w:link w:val="FooterChar"/>
    <w:uiPriority w:val="99"/>
    <w:unhideWhenUsed/>
    <w:rsid w:val="0082371D"/>
    <w:pPr>
      <w:tabs>
        <w:tab w:val="center" w:pos="4513"/>
        <w:tab w:val="right" w:pos="9026"/>
      </w:tabs>
    </w:pPr>
  </w:style>
  <w:style w:type="character" w:customStyle="1" w:styleId="FooterChar">
    <w:name w:val="Footer Char"/>
    <w:basedOn w:val="DefaultParagraphFont"/>
    <w:link w:val="Footer"/>
    <w:uiPriority w:val="99"/>
    <w:rsid w:val="0082371D"/>
    <w:rPr>
      <w:rFonts w:ascii="Arial" w:eastAsia="Arial" w:hAnsi="Arial" w:cs="Arial"/>
    </w:rPr>
  </w:style>
  <w:style w:type="paragraph" w:styleId="Revision">
    <w:name w:val="Revision"/>
    <w:hidden/>
    <w:uiPriority w:val="99"/>
    <w:semiHidden/>
    <w:rsid w:val="00BE3CE4"/>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4D3B13"/>
    <w:rPr>
      <w:sz w:val="16"/>
      <w:szCs w:val="16"/>
    </w:rPr>
  </w:style>
  <w:style w:type="paragraph" w:styleId="CommentText">
    <w:name w:val="annotation text"/>
    <w:basedOn w:val="Normal"/>
    <w:link w:val="CommentTextChar"/>
    <w:uiPriority w:val="99"/>
    <w:unhideWhenUsed/>
    <w:rsid w:val="004D3B13"/>
    <w:rPr>
      <w:sz w:val="20"/>
      <w:szCs w:val="20"/>
    </w:rPr>
  </w:style>
  <w:style w:type="character" w:customStyle="1" w:styleId="CommentTextChar">
    <w:name w:val="Comment Text Char"/>
    <w:basedOn w:val="DefaultParagraphFont"/>
    <w:link w:val="CommentText"/>
    <w:uiPriority w:val="99"/>
    <w:rsid w:val="004D3B1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D3B13"/>
    <w:rPr>
      <w:b/>
      <w:bCs/>
    </w:rPr>
  </w:style>
  <w:style w:type="character" w:customStyle="1" w:styleId="CommentSubjectChar">
    <w:name w:val="Comment Subject Char"/>
    <w:basedOn w:val="CommentTextChar"/>
    <w:link w:val="CommentSubject"/>
    <w:uiPriority w:val="99"/>
    <w:semiHidden/>
    <w:rsid w:val="004D3B13"/>
    <w:rPr>
      <w:rFonts w:ascii="Arial" w:eastAsia="Arial" w:hAnsi="Arial" w:cs="Arial"/>
      <w:b/>
      <w:bCs/>
      <w:sz w:val="20"/>
      <w:szCs w:val="20"/>
    </w:rPr>
  </w:style>
  <w:style w:type="paragraph" w:customStyle="1" w:styleId="Default">
    <w:name w:val="Default"/>
    <w:rsid w:val="00197BFD"/>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2574DF"/>
    <w:rPr>
      <w:color w:val="0000FF" w:themeColor="hyperlink"/>
      <w:u w:val="single"/>
    </w:rPr>
  </w:style>
  <w:style w:type="character" w:styleId="UnresolvedMention">
    <w:name w:val="Unresolved Mention"/>
    <w:basedOn w:val="DefaultParagraphFont"/>
    <w:uiPriority w:val="99"/>
    <w:semiHidden/>
    <w:unhideWhenUsed/>
    <w:rsid w:val="002574DF"/>
    <w:rPr>
      <w:color w:val="605E5C"/>
      <w:shd w:val="clear" w:color="auto" w:fill="E1DFDD"/>
    </w:rPr>
  </w:style>
  <w:style w:type="character" w:styleId="FollowedHyperlink">
    <w:name w:val="FollowedHyperlink"/>
    <w:basedOn w:val="DefaultParagraphFont"/>
    <w:uiPriority w:val="99"/>
    <w:semiHidden/>
    <w:unhideWhenUsed/>
    <w:rsid w:val="00257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pcqld.sharepoint.com/sites/DPC-CABINETSERVICES/Shared%20Documents/General/Proactive%20Release/ToBeProcessed/2022/Nov/Bradfield/Attachments/Response.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pcqld.sharepoint.com/sites/DPC-CABINETSERVICES/Shared%20Documents/General/Proactive%20Release/ToBeProcessed/2022/Nov/Bradfield/Attachments/Summary.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2/Nov/Bradfield/Attachments/Repor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7" ma:contentTypeDescription="Create a new document." ma:contentTypeScope="" ma:versionID="af6f5430eb7d810b497d2a680f43df08">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9e5b09456ee92f63c793c2b07d46b7f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166DD-4B0D-4F4C-9C1B-7B4C2A1AD087}">
  <ds:schemaRefs>
    <ds:schemaRef ds:uri="http://schemas.microsoft.com/sharepoint/v3/contenttype/forms"/>
  </ds:schemaRefs>
</ds:datastoreItem>
</file>

<file path=customXml/itemProps2.xml><?xml version="1.0" encoding="utf-8"?>
<ds:datastoreItem xmlns:ds="http://schemas.openxmlformats.org/officeDocument/2006/customXml" ds:itemID="{3DFF7979-960D-428D-B64B-41DD5E35D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431</Words>
  <Characters>2565</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Base>https://www.cabinet.qld.gov.au/documents/2022/Nov/Bradfield/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8</cp:revision>
  <dcterms:created xsi:type="dcterms:W3CDTF">2022-12-06T05:41:00Z</dcterms:created>
  <dcterms:modified xsi:type="dcterms:W3CDTF">2023-09-26T04:08:00Z</dcterms:modified>
  <cp:category>Regional_Planning,Water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for Microsoft 365</vt:lpwstr>
  </property>
  <property fmtid="{D5CDD505-2E9C-101B-9397-08002B2CF9AE}" pid="4" name="LastSaved">
    <vt:filetime>2022-11-04T00:00:00Z</vt:filetime>
  </property>
  <property fmtid="{D5CDD505-2E9C-101B-9397-08002B2CF9AE}" pid="5" name="Producer">
    <vt:lpwstr>Microsoft® Word for Microsoft 365</vt:lpwstr>
  </property>
  <property fmtid="{D5CDD505-2E9C-101B-9397-08002B2CF9AE}" pid="6" name="ClassificationContentMarkingHeaderShapeIds">
    <vt:lpwstr>4d586ba9,494d1dca,75197b8f</vt:lpwstr>
  </property>
  <property fmtid="{D5CDD505-2E9C-101B-9397-08002B2CF9AE}" pid="7" name="ClassificationContentMarkingHeaderFontProps">
    <vt:lpwstr>#008000,20,Calibri</vt:lpwstr>
  </property>
  <property fmtid="{D5CDD505-2E9C-101B-9397-08002B2CF9AE}" pid="8" name="ClassificationContentMarkingHeaderText">
    <vt:lpwstr>OFFICIAL</vt:lpwstr>
  </property>
  <property fmtid="{D5CDD505-2E9C-101B-9397-08002B2CF9AE}" pid="9" name="MSIP_Label_dbba12b5-5c44-45c1-8d23-ce231b9c6da8_Enabled">
    <vt:lpwstr>true</vt:lpwstr>
  </property>
  <property fmtid="{D5CDD505-2E9C-101B-9397-08002B2CF9AE}" pid="10" name="MSIP_Label_dbba12b5-5c44-45c1-8d23-ce231b9c6da8_SetDate">
    <vt:lpwstr>2023-09-26T04:08:23Z</vt:lpwstr>
  </property>
  <property fmtid="{D5CDD505-2E9C-101B-9397-08002B2CF9AE}" pid="11" name="MSIP_Label_dbba12b5-5c44-45c1-8d23-ce231b9c6da8_Method">
    <vt:lpwstr>Standard</vt:lpwstr>
  </property>
  <property fmtid="{D5CDD505-2E9C-101B-9397-08002B2CF9AE}" pid="12" name="MSIP_Label_dbba12b5-5c44-45c1-8d23-ce231b9c6da8_Name">
    <vt:lpwstr>OFFICIAL-PILOT</vt:lpwstr>
  </property>
  <property fmtid="{D5CDD505-2E9C-101B-9397-08002B2CF9AE}" pid="13" name="MSIP_Label_dbba12b5-5c44-45c1-8d23-ce231b9c6da8_SiteId">
    <vt:lpwstr>51778d2a-a6ab-4c76-97dc-782782d65046</vt:lpwstr>
  </property>
  <property fmtid="{D5CDD505-2E9C-101B-9397-08002B2CF9AE}" pid="14" name="MSIP_Label_dbba12b5-5c44-45c1-8d23-ce231b9c6da8_ActionId">
    <vt:lpwstr>d48739c0-1ad8-4d2d-a0da-d9c6e1304258</vt:lpwstr>
  </property>
  <property fmtid="{D5CDD505-2E9C-101B-9397-08002B2CF9AE}" pid="15" name="MSIP_Label_dbba12b5-5c44-45c1-8d23-ce231b9c6da8_ContentBits">
    <vt:lpwstr>1</vt:lpwstr>
  </property>
</Properties>
</file>